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Cash Memo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Shop</w:t>
            </w:r>
          </w:p>
        </w:tc>
        <w:tc>
          <w:tcPr>
            <w:tcW w:type="dxa" w:w="5046"/>
          </w:tcPr>
          <w:p>
            <w:r>
              <w:t>Example Stationery Counter</w:t>
            </w:r>
          </w:p>
        </w:tc>
      </w:tr>
      <w:tr>
        <w:tc>
          <w:tcPr>
            <w:tcW w:type="dxa" w:w="5046"/>
          </w:tcPr>
          <w:p>
            <w:r>
              <w:t>Memo / date</w:t>
            </w:r>
          </w:p>
        </w:tc>
        <w:tc>
          <w:tcPr>
            <w:tcW w:type="dxa" w:w="5046"/>
          </w:tcPr>
          <w:p>
            <w:r>
              <w:t>CM-EX-025 / 12 September 2026</w:t>
            </w:r>
          </w:p>
        </w:tc>
      </w:tr>
      <w:tr>
        <w:tc>
          <w:tcPr>
            <w:tcW w:type="dxa" w:w="5046"/>
          </w:tcPr>
          <w:p>
            <w:r>
              <w:t>Customer</w:t>
            </w:r>
          </w:p>
        </w:tc>
        <w:tc>
          <w:tcPr>
            <w:tcW w:type="dxa" w:w="5046"/>
          </w:tcPr>
          <w:p>
            <w:r>
              <w:t>Optional customer reference</w:t>
            </w:r>
          </w:p>
        </w:tc>
      </w:tr>
      <w:tr>
        <w:tc>
          <w:tcPr>
            <w:tcW w:type="dxa" w:w="5046"/>
          </w:tcPr>
          <w:p>
            <w:r>
              <w:t>Payment method</w:t>
            </w:r>
          </w:p>
        </w:tc>
        <w:tc>
          <w:tcPr>
            <w:tcW w:type="dxa" w:w="5046"/>
          </w:tcPr>
          <w:p>
            <w:r>
              <w:t>Cash</w:t>
            </w:r>
          </w:p>
        </w:tc>
      </w:tr>
      <w:tr>
        <w:tc>
          <w:tcPr>
            <w:tcW w:type="dxa" w:w="5046"/>
          </w:tcPr>
          <w:p>
            <w:r>
              <w:t>Payment status</w:t>
            </w:r>
          </w:p>
        </w:tc>
        <w:tc>
          <w:tcPr>
            <w:tcW w:type="dxa" w:w="5046"/>
          </w:tcPr>
          <w:p>
            <w:r>
              <w:t>Received in full in this fictional example</w:t>
            </w:r>
          </w:p>
        </w:tc>
      </w:tr>
      <w:tr>
        <w:tc>
          <w:tcPr>
            <w:tcW w:type="dxa" w:w="5046"/>
          </w:tcPr>
          <w:p>
            <w:r>
              <w:t>Received by</w:t>
            </w:r>
          </w:p>
        </w:tc>
        <w:tc>
          <w:tcPr>
            <w:tcW w:type="dxa" w:w="5046"/>
          </w:tcPr>
          <w:p>
            <w:r>
              <w:t>Authorized name / signature: 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Notebook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3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60.00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180.00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Pen set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90.00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90.00</w:t>
            </w:r>
          </w:p>
        </w:tc>
      </w:tr>
    </w:tbl>
    <w:p>
      <w:r>
        <w:rPr>
          <w:b/>
        </w:rPr>
        <w:t xml:space="preserve">Subtotal: </w:t>
      </w:r>
      <w:r>
        <w:t>INR 270.00</w:t>
      </w:r>
    </w:p>
    <w:p>
      <w:r>
        <w:rPr>
          <w:b/>
        </w:rPr>
        <w:t xml:space="preserve">Amount received: </w:t>
      </w:r>
      <w:r>
        <w:t>INR 270.00</w:t>
      </w:r>
    </w:p>
    <w:p>
      <w:r>
        <w:t>Paid-sale example. Verify the actual goods and payment before acknowledging receipt.</w:t>
      </w:r>
    </w:p>
    <w:p>
      <w:r>
        <w:t>This file does not determine the required tax document.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Cash Memo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