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Freelance Invoice — hourly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Freelancer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Client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Invoice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Work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Billing period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Due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Payment instructions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Tax basis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</w:r>
          </w:p>
        </w:tc>
        <w:tc>
          <w:tcPr>
            <w:tcW w:type="dxa" w:w="1411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  <w:tc>
          <w:tcPr>
            <w:tcW w:type="dxa" w:w="2170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Amount due: </w:t>
      </w:r>
      <w:r>
        <w:t>INR __________</w:t>
      </w:r>
    </w:p>
    <w:p>
      <w:r>
        <w:t>Use the agreed scope and approved hours or fixed fee. The template does not calculate withholding or tax.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Freelance Invoice — hourly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