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Jewellery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Jeweller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Customer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Bill / date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Article references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Hallmark/HUID references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Price basis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Tax basis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187"/>
        <w:gridCol w:w="1970"/>
        <w:gridCol w:w="2217"/>
        <w:gridCol w:w="1970"/>
        <w:gridCol w:w="2217"/>
        <w:gridCol w:w="2463"/>
      </w:tblGrid>
      <w:tr>
        <w:trPr>
          <w:tblHeader/>
          <w:cantSplit/>
        </w:trPr>
        <w:tc>
          <w:tcPr>
            <w:tcW w:type="dxa" w:w="4187"/>
          </w:tcPr>
          <w:p>
            <w:r>
              <w:rPr>
                <w:sz w:val="18"/>
              </w:rPr>
              <w:t>Article / purity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Net metal g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Rate / g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Making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Hallmarking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Line amount</w:t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1970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Stated charges before tax: </w:t>
      </w:r>
      <w:r>
        <w:t>INR __________</w:t>
      </w:r>
    </w:p>
    <w:p>
      <w:r>
        <w:t>Rates and charges are fictional; check actual prices and applicable hallmarking charges.</w:t>
      </w:r>
    </w:p>
    <w:p>
      <w:r>
        <w:t>No tax, stones, exchanges, wastage or authenticity verification is calculated.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Jewellery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