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Monthly Milk Bill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Year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Month (1–12)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Dairy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Customer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Milk type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Billing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2081"/>
        <w:gridCol w:w="1457"/>
        <w:gridCol w:w="1457"/>
        <w:gridCol w:w="1248"/>
        <w:gridCol w:w="1769"/>
        <w:gridCol w:w="2081"/>
      </w:tblGrid>
      <w:tr>
        <w:trPr>
          <w:tblHeader/>
          <w:cantSplit/>
        </w:trPr>
        <w:tc>
          <w:tcPr>
            <w:tcW w:type="dxa" w:w="2081"/>
          </w:tcPr>
          <w:p>
            <w:r>
              <w:rPr>
                <w:sz w:val="18"/>
              </w:rPr>
              <w:t>Date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Morning L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Evening L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Skip?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Rate / L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Daily amount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457"/>
          </w:tcPr>
          <w:p>
            <w:r>
              <w:rPr>
                <w:sz w:val="18"/>
              </w:rPr>
            </w:r>
          </w:p>
        </w:tc>
        <w:tc>
          <w:tcPr>
            <w:tcW w:type="dxa" w:w="1248"/>
          </w:tcPr>
          <w:p>
            <w:r>
              <w:rPr>
                <w:sz w:val="18"/>
              </w:rPr>
            </w:r>
          </w:p>
        </w:tc>
        <w:tc>
          <w:tcPr>
            <w:tcW w:type="dxa" w:w="1769"/>
          </w:tcPr>
          <w:p>
            <w:r>
              <w:rPr>
                <w:sz w:val="18"/>
              </w:rPr>
            </w:r>
          </w:p>
        </w:tc>
        <w:tc>
          <w:tcPr>
            <w:tcW w:type="dxa" w:w="2081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Opening balance: </w:t>
      </w:r>
      <w:r>
        <w:t>INR __________</w:t>
      </w:r>
    </w:p>
    <w:p>
      <w:r>
        <w:rPr>
          <w:b/>
        </w:rPr>
        <w:t xml:space="preserve">Payment received (deduct):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Daily rates and quantities are entered from the agreed delivery record.</w:t>
      </w:r>
    </w:p>
    <w:p>
      <w:r>
        <w:t>Skipped and invalid calendar days do not produce a milk charge.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Milk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