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Rent Receipt — optional PAN field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Landlord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Tenant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Property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Rental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Landlord PAN (if required)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Acknowledgment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55"/>
        <w:gridCol w:w="1953"/>
        <w:gridCol w:w="2713"/>
        <w:gridCol w:w="2170"/>
      </w:tblGrid>
      <w:tr>
        <w:trPr>
          <w:tblHeader/>
          <w:cantSplit/>
        </w:trPr>
        <w:tc>
          <w:tcPr>
            <w:tcW w:type="dxa" w:w="3255"/>
          </w:tcPr>
          <w:p>
            <w:r>
              <w:rPr>
                <w:sz w:val="18"/>
              </w:rPr>
              <w:t>Period / purpose</w:t>
            </w:r>
          </w:p>
        </w:tc>
        <w:tc>
          <w:tcPr>
            <w:tcW w:type="dxa" w:w="1953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713"/>
          </w:tcPr>
          <w:p>
            <w:r>
              <w:rPr>
                <w:sz w:val="18"/>
              </w:rPr>
              <w:t>Reference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t>Acknowledge only rent actually received. Verify the parties and payment record.</w:t>
      </w:r>
    </w:p>
    <w:p>
      <w:r>
        <w:t>The optional PAN field does not determine tax eligibility or employer acceptance.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Receipt — optional PAN field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