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Society Maintenance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Society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Member / unit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Demand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Charge authority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59"/>
        <w:gridCol w:w="3286"/>
        <w:gridCol w:w="2347"/>
      </w:tblGrid>
      <w:tr>
        <w:trPr>
          <w:tblHeader/>
          <w:cantSplit/>
        </w:trPr>
        <w:tc>
          <w:tcPr>
            <w:tcW w:type="dxa" w:w="4459"/>
          </w:tcPr>
          <w:p>
            <w:r>
              <w:rPr>
                <w:sz w:val="18"/>
              </w:rPr>
              <w:t>Charge head</w:t>
            </w:r>
          </w:p>
        </w:tc>
        <w:tc>
          <w:tcPr>
            <w:tcW w:type="dxa" w:w="3286"/>
          </w:tcPr>
          <w:p>
            <w:r>
              <w:rPr>
                <w:sz w:val="18"/>
              </w:rPr>
              <w:t>Period / basis</w:t>
            </w:r>
          </w:p>
        </w:tc>
        <w:tc>
          <w:tcPr>
            <w:tcW w:type="dxa" w:w="2347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</w:r>
          </w:p>
        </w:tc>
        <w:tc>
          <w:tcPr>
            <w:tcW w:type="dxa" w:w="3286"/>
          </w:tcPr>
          <w:p>
            <w:r>
              <w:rPr>
                <w:sz w:val="18"/>
              </w:rPr>
            </w:r>
          </w:p>
        </w:tc>
        <w:tc>
          <w:tcPr>
            <w:tcW w:type="dxa" w:w="2347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Opening outstanding: </w:t>
      </w:r>
      <w:r>
        <w:t>INR __________</w:t>
      </w:r>
    </w:p>
    <w:p>
      <w:r>
        <w:rPr>
          <w:b/>
        </w:rPr>
        <w:t xml:space="preserve">Payment received (deduct): </w:t>
      </w:r>
      <w:r>
        <w:t>INR __________</w:t>
      </w:r>
    </w:p>
    <w:p>
      <w:r>
        <w:rPr>
          <w:b/>
        </w:rPr>
        <w:t xml:space="preserve">Balance due: </w:t>
      </w:r>
      <w:r>
        <w:t>INR __________</w:t>
      </w:r>
    </w:p>
    <w:p>
      <w:r>
        <w:t>Use approved society charges. No interest, tax or unit-ledger logic is supplied.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Maintenance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