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Society Maintenance Bill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Society</w:t>
            </w:r>
          </w:p>
        </w:tc>
        <w:tc>
          <w:tcPr>
            <w:tcW w:type="dxa" w:w="5046"/>
          </w:tcPr>
          <w:p>
            <w:r>
              <w:t>Example Housing Society</w:t>
            </w:r>
          </w:p>
        </w:tc>
      </w:tr>
      <w:tr>
        <w:tc>
          <w:tcPr>
            <w:tcW w:type="dxa" w:w="5046"/>
          </w:tcPr>
          <w:p>
            <w:r>
              <w:t>Member / unit</w:t>
            </w:r>
          </w:p>
        </w:tc>
        <w:tc>
          <w:tcPr>
            <w:tcW w:type="dxa" w:w="5046"/>
          </w:tcPr>
          <w:p>
            <w:r>
              <w:t>Sample Member / B-204</w:t>
            </w:r>
          </w:p>
        </w:tc>
      </w:tr>
      <w:tr>
        <w:tc>
          <w:tcPr>
            <w:tcW w:type="dxa" w:w="5046"/>
          </w:tcPr>
          <w:p>
            <w:r>
              <w:t>Demand / date</w:t>
            </w:r>
          </w:p>
        </w:tc>
        <w:tc>
          <w:tcPr>
            <w:tcW w:type="dxa" w:w="5046"/>
          </w:tcPr>
          <w:p>
            <w:r>
              <w:t>SOC-EX-036 / 12 September 2026</w:t>
            </w:r>
          </w:p>
        </w:tc>
      </w:tr>
      <w:tr>
        <w:tc>
          <w:tcPr>
            <w:tcW w:type="dxa" w:w="5046"/>
          </w:tcPr>
          <w:p>
            <w:r>
              <w:t>Period</w:t>
            </w:r>
          </w:p>
        </w:tc>
        <w:tc>
          <w:tcPr>
            <w:tcW w:type="dxa" w:w="5046"/>
          </w:tcPr>
          <w:p>
            <w:r>
              <w:t>September 2026</w:t>
            </w:r>
          </w:p>
        </w:tc>
      </w:tr>
      <w:tr>
        <w:tc>
          <w:tcPr>
            <w:tcW w:type="dxa" w:w="5046"/>
          </w:tcPr>
          <w:p>
            <w:r>
              <w:t>Due date</w:t>
            </w:r>
          </w:p>
        </w:tc>
        <w:tc>
          <w:tcPr>
            <w:tcW w:type="dxa" w:w="5046"/>
          </w:tcPr>
          <w:p>
            <w:r>
              <w:t>As approved in the society’s demand</w:t>
            </w:r>
          </w:p>
        </w:tc>
      </w:tr>
      <w:tr>
        <w:tc>
          <w:tcPr>
            <w:tcW w:type="dxa" w:w="5046"/>
          </w:tcPr>
          <w:p>
            <w:r>
              <w:t>Charge authority</w:t>
            </w:r>
          </w:p>
        </w:tc>
        <w:tc>
          <w:tcPr>
            <w:tcW w:type="dxa" w:w="5046"/>
          </w:tcPr>
          <w:p>
            <w:r>
              <w:t>Refer to the society’s approved schedule</w:t>
            </w:r>
          </w:p>
        </w:tc>
      </w:tr>
      <w:tr>
        <w:tc>
          <w:tcPr>
            <w:tcW w:type="dxa" w:w="5046"/>
          </w:tcPr>
          <w:p>
            <w:r>
              <w:t>Payment reference</w:t>
            </w:r>
          </w:p>
        </w:tc>
        <w:tc>
          <w:tcPr>
            <w:tcW w:type="dxa" w:w="5046"/>
          </w:tcPr>
          <w:p>
            <w:r>
              <w:t>EX-SOC-PAY01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459"/>
        <w:gridCol w:w="3286"/>
        <w:gridCol w:w="2347"/>
      </w:tblGrid>
      <w:tr>
        <w:trPr>
          <w:tblHeader/>
          <w:cantSplit/>
        </w:trPr>
        <w:tc>
          <w:tcPr>
            <w:tcW w:type="dxa" w:w="4459"/>
          </w:tcPr>
          <w:p>
            <w:r>
              <w:rPr>
                <w:sz w:val="18"/>
              </w:rPr>
              <w:t>Charge head</w:t>
            </w:r>
          </w:p>
        </w:tc>
        <w:tc>
          <w:tcPr>
            <w:tcW w:type="dxa" w:w="3286"/>
          </w:tcPr>
          <w:p>
            <w:r>
              <w:rPr>
                <w:sz w:val="18"/>
              </w:rPr>
              <w:t>Period / basis</w:t>
            </w:r>
          </w:p>
        </w:tc>
        <w:tc>
          <w:tcPr>
            <w:tcW w:type="dxa" w:w="2347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459"/>
          </w:tcPr>
          <w:p>
            <w:r>
              <w:rPr>
                <w:sz w:val="18"/>
              </w:rPr>
              <w:t>Service charges</w:t>
            </w:r>
          </w:p>
        </w:tc>
        <w:tc>
          <w:tcPr>
            <w:tcW w:type="dxa" w:w="3286"/>
          </w:tcPr>
          <w:p>
            <w:r>
              <w:rPr>
                <w:sz w:val="18"/>
              </w:rPr>
              <w:t>September 2026</w:t>
            </w:r>
          </w:p>
        </w:tc>
        <w:tc>
          <w:tcPr>
            <w:tcW w:type="dxa" w:w="2347"/>
          </w:tcPr>
          <w:p>
            <w:r>
              <w:rPr>
                <w:sz w:val="18"/>
              </w:rPr>
              <w:t>1,800.00</w:t>
            </w:r>
          </w:p>
        </w:tc>
      </w:tr>
      <w:tr>
        <w:trPr>
          <w:cantSplit/>
        </w:trPr>
        <w:tc>
          <w:tcPr>
            <w:tcW w:type="dxa" w:w="4459"/>
          </w:tcPr>
          <w:p>
            <w:r>
              <w:rPr>
                <w:sz w:val="18"/>
              </w:rPr>
              <w:t>Water charges</w:t>
            </w:r>
          </w:p>
        </w:tc>
        <w:tc>
          <w:tcPr>
            <w:tcW w:type="dxa" w:w="3286"/>
          </w:tcPr>
          <w:p>
            <w:r>
              <w:rPr>
                <w:sz w:val="18"/>
              </w:rPr>
              <w:t>September 2026</w:t>
            </w:r>
          </w:p>
        </w:tc>
        <w:tc>
          <w:tcPr>
            <w:tcW w:type="dxa" w:w="2347"/>
          </w:tcPr>
          <w:p>
            <w:r>
              <w:rPr>
                <w:sz w:val="18"/>
              </w:rPr>
              <w:t>300.00</w:t>
            </w:r>
          </w:p>
        </w:tc>
      </w:tr>
      <w:tr>
        <w:trPr>
          <w:cantSplit/>
        </w:trPr>
        <w:tc>
          <w:tcPr>
            <w:tcW w:type="dxa" w:w="4459"/>
          </w:tcPr>
          <w:p>
            <w:r>
              <w:rPr>
                <w:sz w:val="18"/>
              </w:rPr>
              <w:t>Repair contribution</w:t>
            </w:r>
          </w:p>
        </w:tc>
        <w:tc>
          <w:tcPr>
            <w:tcW w:type="dxa" w:w="3286"/>
          </w:tcPr>
          <w:p>
            <w:r>
              <w:rPr>
                <w:sz w:val="18"/>
              </w:rPr>
              <w:t>September 2026</w:t>
            </w:r>
          </w:p>
        </w:tc>
        <w:tc>
          <w:tcPr>
            <w:tcW w:type="dxa" w:w="2347"/>
          </w:tcPr>
          <w:p>
            <w:r>
              <w:rPr>
                <w:sz w:val="18"/>
              </w:rPr>
              <w:t>400.00</w:t>
            </w:r>
          </w:p>
        </w:tc>
      </w:tr>
    </w:tbl>
    <w:p>
      <w:r>
        <w:rPr>
          <w:b/>
        </w:rPr>
        <w:t xml:space="preserve">Subtotal: </w:t>
      </w:r>
      <w:r>
        <w:t>INR 2,500.00</w:t>
      </w:r>
    </w:p>
    <w:p>
      <w:r>
        <w:rPr>
          <w:b/>
        </w:rPr>
        <w:t xml:space="preserve">Opening outstanding: </w:t>
      </w:r>
      <w:r>
        <w:t>INR 500.00</w:t>
      </w:r>
    </w:p>
    <w:p>
      <w:r>
        <w:rPr>
          <w:b/>
        </w:rPr>
        <w:t xml:space="preserve">Payment received (deduct): </w:t>
      </w:r>
      <w:r>
        <w:t>INR 1,000.00</w:t>
      </w:r>
    </w:p>
    <w:p>
      <w:r>
        <w:rPr>
          <w:b/>
        </w:rPr>
        <w:t xml:space="preserve">Balance due: </w:t>
      </w:r>
      <w:r>
        <w:t>INR 2,000.00</w:t>
      </w:r>
    </w:p>
    <w:p>
      <w:r>
        <w:t>Use approved society charges. No interest, tax or unit-ledger logic is supplied.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Society Maintenance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