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Transport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Transporter</w:t>
            </w:r>
          </w:p>
        </w:tc>
        <w:tc>
          <w:tcPr>
            <w:tcW w:type="dxa" w:w="5046"/>
          </w:tcPr>
          <w:p>
            <w:r>
              <w:t>Example Freight Service</w:t>
            </w:r>
          </w:p>
        </w:tc>
      </w:tr>
      <w:tr>
        <w:tc>
          <w:tcPr>
            <w:tcW w:type="dxa" w:w="5046"/>
          </w:tcPr>
          <w:p>
            <w:r>
              <w:t>Billed to</w:t>
            </w:r>
          </w:p>
        </w:tc>
        <w:tc>
          <w:tcPr>
            <w:tcW w:type="dxa" w:w="5046"/>
          </w:tcPr>
          <w:p>
            <w:r>
              <w:t>Example Supplier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TR-EX-028 / 12 September 2026</w:t>
            </w:r>
          </w:p>
        </w:tc>
      </w:tr>
      <w:tr>
        <w:tc>
          <w:tcPr>
            <w:tcW w:type="dxa" w:w="5046"/>
          </w:tcPr>
          <w:p>
            <w:r>
              <w:t>Origin / destination</w:t>
            </w:r>
          </w:p>
        </w:tc>
        <w:tc>
          <w:tcPr>
            <w:tcW w:type="dxa" w:w="5046"/>
          </w:tcPr>
          <w:p>
            <w:r>
              <w:t>Pune / Nashik</w:t>
            </w:r>
          </w:p>
        </w:tc>
      </w:tr>
      <w:tr>
        <w:tc>
          <w:tcPr>
            <w:tcW w:type="dxa" w:w="5046"/>
          </w:tcPr>
          <w:p>
            <w:r>
              <w:t>Related LR</w:t>
            </w:r>
          </w:p>
        </w:tc>
        <w:tc>
          <w:tcPr>
            <w:tcW w:type="dxa" w:w="5046"/>
          </w:tcPr>
          <w:p>
            <w:r>
              <w:t>LR-EX-011</w:t>
            </w:r>
          </w:p>
        </w:tc>
      </w:tr>
      <w:tr>
        <w:tc>
          <w:tcPr>
            <w:tcW w:type="dxa" w:w="5046"/>
          </w:tcPr>
          <w:p>
            <w:r>
              <w:t>Vehicle</w:t>
            </w:r>
          </w:p>
        </w:tc>
        <w:tc>
          <w:tcPr>
            <w:tcW w:type="dxa" w:w="5046"/>
          </w:tcPr>
          <w:p>
            <w:r>
              <w:t>[Actual vehicle reference]</w:t>
            </w:r>
          </w:p>
        </w:tc>
      </w:tr>
      <w:tr>
        <w:tc>
          <w:tcPr>
            <w:tcW w:type="dxa" w:w="5046"/>
          </w:tcPr>
          <w:p>
            <w:r>
              <w:t>Payment terms</w:t>
            </w:r>
          </w:p>
        </w:tc>
        <w:tc>
          <w:tcPr>
            <w:tcW w:type="dxa" w:w="5046"/>
          </w:tcPr>
          <w:p>
            <w:r>
              <w:t>As agreed for this service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Not calculated in this illustrative example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Agreed freight service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4,500.00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4,500.00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Loading service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Recorded toll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</w:tr>
    </w:tbl>
    <w:p>
      <w:r>
        <w:rPr>
          <w:b/>
        </w:rPr>
        <w:t xml:space="preserve">Subtotal: </w:t>
      </w:r>
      <w:r>
        <w:t>INR 5,000.00</w:t>
      </w:r>
    </w:p>
    <w:p>
      <w:r>
        <w:rPr>
          <w:b/>
        </w:rPr>
        <w:t xml:space="preserve">Advance received (deduct): </w:t>
      </w:r>
      <w:r>
        <w:t>INR 1,000.00</w:t>
      </w:r>
    </w:p>
    <w:p>
      <w:r>
        <w:rPr>
          <w:b/>
        </w:rPr>
        <w:t xml:space="preserve">Amount due: </w:t>
      </w:r>
      <w:r>
        <w:t>INR 4,000.00</w:t>
      </w:r>
    </w:p>
    <w:p>
      <w:r>
        <w:t>Freight charges and consignment value are different amounts.</w:t>
      </w:r>
    </w:p>
    <w:p>
      <w:r>
        <w:t>Review the tax treatment for the actual transport service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